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AD5C1" w14:textId="26D71D4A" w:rsidR="00625C6D" w:rsidRDefault="00625C6D" w:rsidP="00625C6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8B60FF" wp14:editId="3B63C11E">
            <wp:extent cx="1572260" cy="196850"/>
            <wp:effectExtent l="0" t="0" r="2540" b="635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1AC0A" w14:textId="77777777" w:rsidR="00625C6D" w:rsidRDefault="00625C6D">
      <w:pPr>
        <w:rPr>
          <w:b/>
          <w:bCs/>
          <w:sz w:val="28"/>
          <w:szCs w:val="28"/>
        </w:rPr>
      </w:pPr>
    </w:p>
    <w:p w14:paraId="6A1CC6D0" w14:textId="76995508" w:rsidR="00B65F41" w:rsidRPr="00E87AC4" w:rsidRDefault="00E569E1" w:rsidP="007118A2">
      <w:pPr>
        <w:jc w:val="center"/>
        <w:rPr>
          <w:b/>
          <w:bCs/>
          <w:sz w:val="28"/>
          <w:szCs w:val="28"/>
        </w:rPr>
      </w:pPr>
      <w:r w:rsidRPr="00E87AC4">
        <w:rPr>
          <w:b/>
          <w:bCs/>
          <w:sz w:val="28"/>
          <w:szCs w:val="28"/>
        </w:rPr>
        <w:t xml:space="preserve">Planning a restructure?  </w:t>
      </w:r>
      <w:r w:rsidR="00D0282F">
        <w:rPr>
          <w:b/>
          <w:bCs/>
          <w:sz w:val="28"/>
          <w:szCs w:val="28"/>
        </w:rPr>
        <w:t>Some different structural types to consider</w:t>
      </w:r>
      <w:r w:rsidR="00EF2891" w:rsidRPr="00E87AC4">
        <w:rPr>
          <w:b/>
          <w:bCs/>
          <w:sz w:val="28"/>
          <w:szCs w:val="28"/>
        </w:rPr>
        <w:t>.</w:t>
      </w:r>
    </w:p>
    <w:p w14:paraId="52F20CD4" w14:textId="5B929F5B" w:rsidR="00F932FA" w:rsidRDefault="00F932FA" w:rsidP="00F932FA"/>
    <w:p w14:paraId="708789BA" w14:textId="70D3B172" w:rsidR="00F932FA" w:rsidRDefault="003F4B79" w:rsidP="00F932FA">
      <w:r>
        <w:t>Although t</w:t>
      </w:r>
      <w:r w:rsidR="00D0564E">
        <w:t>here is no blueprint for the ideal Marketing and Communications team structure</w:t>
      </w:r>
      <w:r>
        <w:t xml:space="preserve">, </w:t>
      </w:r>
      <w:r w:rsidR="00C94218" w:rsidRPr="00CB7379">
        <w:t xml:space="preserve">below are </w:t>
      </w:r>
      <w:r w:rsidR="00D0564E">
        <w:t>two of the most common models</w:t>
      </w:r>
      <w:r w:rsidR="00A73A3A">
        <w:t xml:space="preserve"> </w:t>
      </w:r>
      <w:r w:rsidR="00C94218" w:rsidRPr="00CB7379">
        <w:t xml:space="preserve">as well as </w:t>
      </w:r>
      <w:r>
        <w:t>some</w:t>
      </w:r>
      <w:r w:rsidR="00A73A3A">
        <w:t xml:space="preserve"> additional</w:t>
      </w:r>
      <w:r w:rsidR="00D0564E">
        <w:t xml:space="preserve"> examples of ways </w:t>
      </w:r>
      <w:r>
        <w:t>to approach</w:t>
      </w:r>
      <w:r w:rsidR="00CB4C25">
        <w:t xml:space="preserve"> a</w:t>
      </w:r>
      <w:r w:rsidR="00D0564E">
        <w:t xml:space="preserve"> </w:t>
      </w:r>
      <w:r>
        <w:t>team structure</w:t>
      </w:r>
      <w:r w:rsidR="008E540B">
        <w:t xml:space="preserve">.  </w:t>
      </w:r>
    </w:p>
    <w:p w14:paraId="52AADEFC" w14:textId="3C04149B" w:rsidR="00FC600E" w:rsidRDefault="00FC600E" w:rsidP="00F932FA"/>
    <w:p w14:paraId="7470899C" w14:textId="3808794B" w:rsidR="00F932FA" w:rsidRDefault="003F4B79">
      <w:r>
        <w:t>This accompanies</w:t>
      </w:r>
      <w:r w:rsidR="00D0564E">
        <w:t xml:space="preserve"> our </w:t>
      </w:r>
      <w:r w:rsidR="00371721" w:rsidRPr="00CB7379">
        <w:t xml:space="preserve">template of </w:t>
      </w:r>
      <w:r w:rsidR="00D0564E">
        <w:t>questions to ask when planning a restructure</w:t>
      </w:r>
      <w:r w:rsidR="00CB7379">
        <w:t xml:space="preserve">, </w:t>
      </w:r>
      <w:r w:rsidR="007C3DDA">
        <w:t xml:space="preserve">and the </w:t>
      </w:r>
      <w:proofErr w:type="spellStart"/>
      <w:r w:rsidR="007C3DDA">
        <w:t>C</w:t>
      </w:r>
      <w:r>
        <w:t>harityComm</w:t>
      </w:r>
      <w:r w:rsidR="007C3DDA">
        <w:t>s</w:t>
      </w:r>
      <w:proofErr w:type="spellEnd"/>
      <w:r w:rsidR="007C3DDA">
        <w:t xml:space="preserve"> s</w:t>
      </w:r>
      <w:r>
        <w:t>e</w:t>
      </w:r>
      <w:r w:rsidR="007C3DDA">
        <w:t>ries ‘</w:t>
      </w:r>
      <w:r w:rsidR="007C3DDA" w:rsidRPr="007C3DDA">
        <w:rPr>
          <w:i/>
          <w:iCs/>
        </w:rPr>
        <w:t>Beyond the organogram’</w:t>
      </w:r>
      <w:r w:rsidR="007C3DDA">
        <w:t xml:space="preserve"> where</w:t>
      </w:r>
      <w:r w:rsidR="00D0564E">
        <w:t xml:space="preserve"> </w:t>
      </w:r>
      <w:r>
        <w:t>l</w:t>
      </w:r>
      <w:r w:rsidR="00D0564E">
        <w:t xml:space="preserve">eaders </w:t>
      </w:r>
      <w:r>
        <w:t xml:space="preserve">share insights </w:t>
      </w:r>
      <w:r w:rsidR="00D0564E">
        <w:t>on restructur</w:t>
      </w:r>
      <w:r>
        <w:t>ing</w:t>
      </w:r>
      <w:r w:rsidR="00D0564E">
        <w:t>.</w:t>
      </w:r>
    </w:p>
    <w:p w14:paraId="3D6B5CF1" w14:textId="77777777" w:rsidR="00D0564E" w:rsidRDefault="00D0564E"/>
    <w:tbl>
      <w:tblPr>
        <w:tblW w:w="99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6"/>
        <w:gridCol w:w="5143"/>
      </w:tblGrid>
      <w:tr w:rsidR="00F932FA" w:rsidRPr="00F932FA" w14:paraId="28637CE7" w14:textId="77777777" w:rsidTr="005365DF">
        <w:trPr>
          <w:trHeight w:val="507"/>
        </w:trPr>
        <w:tc>
          <w:tcPr>
            <w:tcW w:w="990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310D841" w14:textId="38880218" w:rsidR="00D0282F" w:rsidRDefault="00D0282F" w:rsidP="00F932FA">
            <w:pPr>
              <w:rPr>
                <w:lang w:val="en-US" w:bidi="mr-IN"/>
              </w:rPr>
            </w:pPr>
            <w:r>
              <w:rPr>
                <w:b/>
                <w:bCs/>
                <w:lang w:val="en-US"/>
              </w:rPr>
              <w:t>Functional structure</w:t>
            </w:r>
            <w:r w:rsidR="00D0564E"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 w:bidi="mr-IN"/>
              </w:rPr>
              <w:t xml:space="preserve">A traditional and widely </w:t>
            </w:r>
            <w:r w:rsidR="00CB4C25">
              <w:rPr>
                <w:lang w:val="en-US" w:bidi="mr-IN"/>
              </w:rPr>
              <w:t>applie</w:t>
            </w:r>
            <w:r>
              <w:rPr>
                <w:lang w:val="en-US" w:bidi="mr-IN"/>
              </w:rPr>
              <w:t>d me</w:t>
            </w:r>
            <w:r w:rsidR="001F23D4">
              <w:rPr>
                <w:lang w:val="en-US" w:bidi="mr-IN"/>
              </w:rPr>
              <w:t>thod</w:t>
            </w:r>
            <w:r>
              <w:rPr>
                <w:lang w:val="en-US" w:bidi="mr-IN"/>
              </w:rPr>
              <w:t xml:space="preserve"> </w:t>
            </w:r>
            <w:r w:rsidR="00A73A3A">
              <w:rPr>
                <w:lang w:val="en-US" w:bidi="mr-IN"/>
              </w:rPr>
              <w:t>for</w:t>
            </w:r>
            <w:r>
              <w:rPr>
                <w:lang w:val="en-US" w:bidi="mr-IN"/>
              </w:rPr>
              <w:t xml:space="preserve"> structuring</w:t>
            </w:r>
            <w:r w:rsidR="001F23D4">
              <w:rPr>
                <w:lang w:val="en-US" w:bidi="mr-IN"/>
              </w:rPr>
              <w:t xml:space="preserve"> a</w:t>
            </w:r>
            <w:r w:rsidR="00D34A81">
              <w:rPr>
                <w:lang w:val="en-US" w:bidi="mr-IN"/>
              </w:rPr>
              <w:t xml:space="preserve">n in-house </w:t>
            </w:r>
            <w:r w:rsidR="00CB4C25">
              <w:rPr>
                <w:lang w:val="en-US" w:bidi="mr-IN"/>
              </w:rPr>
              <w:t>M</w:t>
            </w:r>
            <w:r w:rsidR="00D34A81">
              <w:rPr>
                <w:lang w:val="en-US" w:bidi="mr-IN"/>
              </w:rPr>
              <w:t xml:space="preserve">arketing and </w:t>
            </w:r>
            <w:r w:rsidR="00CB4C25">
              <w:rPr>
                <w:lang w:val="en-US" w:bidi="mr-IN"/>
              </w:rPr>
              <w:t>C</w:t>
            </w:r>
            <w:r w:rsidR="00D34A81">
              <w:rPr>
                <w:lang w:val="en-US" w:bidi="mr-IN"/>
              </w:rPr>
              <w:t>omms</w:t>
            </w:r>
            <w:r w:rsidR="001F23D4">
              <w:rPr>
                <w:lang w:val="en-US" w:bidi="mr-IN"/>
              </w:rPr>
              <w:t xml:space="preserve"> </w:t>
            </w:r>
            <w:r w:rsidR="00D34A81">
              <w:rPr>
                <w:lang w:val="en-US" w:bidi="mr-IN"/>
              </w:rPr>
              <w:t>(M&amp;C) division,</w:t>
            </w:r>
            <w:r w:rsidR="001F23D4">
              <w:rPr>
                <w:lang w:val="en-US" w:bidi="mr-IN"/>
              </w:rPr>
              <w:t xml:space="preserve"> </w:t>
            </w:r>
            <w:proofErr w:type="spellStart"/>
            <w:r w:rsidR="00D34A81">
              <w:rPr>
                <w:lang w:val="en-US" w:bidi="mr-IN"/>
              </w:rPr>
              <w:t>organising</w:t>
            </w:r>
            <w:proofErr w:type="spellEnd"/>
            <w:r w:rsidR="00D34A81">
              <w:rPr>
                <w:lang w:val="en-US" w:bidi="mr-IN"/>
              </w:rPr>
              <w:t xml:space="preserve"> teams </w:t>
            </w:r>
            <w:r w:rsidR="001F23D4">
              <w:rPr>
                <w:lang w:val="en-US" w:bidi="mr-IN"/>
              </w:rPr>
              <w:t xml:space="preserve">by functional focus </w:t>
            </w:r>
            <w:r w:rsidR="00D34A81">
              <w:rPr>
                <w:lang w:val="en-US" w:bidi="mr-IN"/>
              </w:rPr>
              <w:t>and specialism</w:t>
            </w:r>
            <w:r w:rsidR="00371721">
              <w:rPr>
                <w:lang w:val="en-US" w:bidi="mr-IN"/>
              </w:rPr>
              <w:t>.</w:t>
            </w:r>
          </w:p>
          <w:p w14:paraId="6B9CD040" w14:textId="77777777" w:rsidR="001F23D4" w:rsidRDefault="001F23D4" w:rsidP="00F932FA">
            <w:pPr>
              <w:rPr>
                <w:lang w:val="en-US" w:bidi="mr-IN"/>
              </w:rPr>
            </w:pPr>
          </w:p>
          <w:p w14:paraId="12D249BC" w14:textId="341EFE4D" w:rsidR="001F23D4" w:rsidRPr="001F23D4" w:rsidRDefault="001F23D4" w:rsidP="00F932FA">
            <w:pPr>
              <w:rPr>
                <w:i/>
                <w:iCs/>
                <w:cs/>
                <w:lang w:val="en-US" w:bidi="mr-IN"/>
              </w:rPr>
            </w:pPr>
            <w:r w:rsidRPr="001F23D4">
              <w:rPr>
                <w:i/>
                <w:iCs/>
                <w:lang w:val="en-US" w:bidi="mr-IN"/>
              </w:rPr>
              <w:t xml:space="preserve">Example: A directorate that is </w:t>
            </w:r>
            <w:proofErr w:type="spellStart"/>
            <w:r w:rsidRPr="001F23D4">
              <w:rPr>
                <w:i/>
                <w:iCs/>
                <w:lang w:val="en-US" w:bidi="mr-IN"/>
              </w:rPr>
              <w:t>organised</w:t>
            </w:r>
            <w:proofErr w:type="spellEnd"/>
            <w:r w:rsidRPr="001F23D4">
              <w:rPr>
                <w:i/>
                <w:iCs/>
                <w:lang w:val="en-US" w:bidi="mr-IN"/>
              </w:rPr>
              <w:t xml:space="preserve"> into: Digital, Marketing</w:t>
            </w:r>
            <w:r w:rsidR="005365DF">
              <w:rPr>
                <w:i/>
                <w:iCs/>
                <w:lang w:val="en-US" w:bidi="mr-IN"/>
              </w:rPr>
              <w:t>, Internal Communications</w:t>
            </w:r>
            <w:r w:rsidR="003F4B79">
              <w:rPr>
                <w:i/>
                <w:iCs/>
                <w:lang w:val="en-US" w:bidi="mr-IN"/>
              </w:rPr>
              <w:t>, Creative</w:t>
            </w:r>
            <w:r>
              <w:rPr>
                <w:i/>
                <w:iCs/>
                <w:lang w:val="en-US" w:bidi="mr-IN"/>
              </w:rPr>
              <w:t xml:space="preserve"> and</w:t>
            </w:r>
            <w:r w:rsidRPr="001F23D4">
              <w:rPr>
                <w:i/>
                <w:iCs/>
                <w:lang w:val="en-US" w:bidi="mr-IN"/>
              </w:rPr>
              <w:t xml:space="preserve"> Media </w:t>
            </w:r>
            <w:r w:rsidR="003F4B79">
              <w:rPr>
                <w:i/>
                <w:iCs/>
                <w:lang w:val="en-US" w:bidi="mr-IN"/>
              </w:rPr>
              <w:t xml:space="preserve">or External Affairs </w:t>
            </w:r>
            <w:r>
              <w:rPr>
                <w:i/>
                <w:iCs/>
                <w:lang w:val="en-US" w:bidi="mr-IN"/>
              </w:rPr>
              <w:t>functions.</w:t>
            </w:r>
            <w:r w:rsidR="005365DF">
              <w:rPr>
                <w:i/>
                <w:iCs/>
                <w:lang w:val="en-US" w:bidi="mr-IN"/>
              </w:rPr>
              <w:br/>
            </w:r>
            <w:r w:rsidRPr="001F23D4">
              <w:rPr>
                <w:i/>
                <w:iCs/>
                <w:lang w:val="en-US" w:bidi="mr-IN"/>
              </w:rPr>
              <w:br/>
            </w:r>
          </w:p>
        </w:tc>
      </w:tr>
      <w:tr w:rsidR="00F932FA" w:rsidRPr="00F932FA" w14:paraId="4407C4C2" w14:textId="77777777" w:rsidTr="005365DF">
        <w:trPr>
          <w:trHeight w:val="875"/>
        </w:trPr>
        <w:tc>
          <w:tcPr>
            <w:tcW w:w="4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52567824" w14:textId="2585A66B" w:rsidR="00F932FA" w:rsidRPr="005365DF" w:rsidRDefault="00D0282F" w:rsidP="00F932FA">
            <w:pPr>
              <w:rPr>
                <w:b/>
                <w:bCs/>
              </w:rPr>
            </w:pPr>
            <w:r w:rsidRPr="005365DF">
              <w:rPr>
                <w:b/>
                <w:bCs/>
              </w:rPr>
              <w:t>Pros:</w:t>
            </w:r>
          </w:p>
          <w:p w14:paraId="25C687EA" w14:textId="03CD71DA" w:rsidR="00D0282F" w:rsidRDefault="00D0282F" w:rsidP="00D0282F">
            <w:pPr>
              <w:pStyle w:val="ListParagraph"/>
              <w:numPr>
                <w:ilvl w:val="0"/>
                <w:numId w:val="2"/>
              </w:numPr>
            </w:pPr>
            <w:r>
              <w:t xml:space="preserve">Consolidates professional expertise </w:t>
            </w:r>
            <w:r w:rsidR="001F23D4">
              <w:t xml:space="preserve">and learning </w:t>
            </w:r>
            <w:r>
              <w:t>in spec</w:t>
            </w:r>
            <w:r w:rsidR="00CB4C25">
              <w:t>ialist</w:t>
            </w:r>
            <w:r>
              <w:t xml:space="preserve"> </w:t>
            </w:r>
            <w:r w:rsidR="001F23D4">
              <w:t>teams</w:t>
            </w:r>
            <w:r w:rsidR="001F23D4">
              <w:br/>
            </w:r>
          </w:p>
          <w:p w14:paraId="0BBB67F6" w14:textId="0BC320A8" w:rsidR="00D0282F" w:rsidRPr="00F932FA" w:rsidRDefault="001F23D4" w:rsidP="00D0282F">
            <w:pPr>
              <w:pStyle w:val="ListParagraph"/>
              <w:numPr>
                <w:ilvl w:val="0"/>
                <w:numId w:val="2"/>
              </w:numPr>
            </w:pPr>
            <w:r>
              <w:t>Relevant for organisations</w:t>
            </w:r>
            <w:r w:rsidR="00D34A81">
              <w:t xml:space="preserve"> and strategies</w:t>
            </w:r>
            <w:r>
              <w:t xml:space="preserve"> requiring</w:t>
            </w:r>
            <w:r w:rsidR="00D0282F">
              <w:t xml:space="preserve"> </w:t>
            </w:r>
            <w:r>
              <w:t>a depth rather than a breadth of experience</w:t>
            </w:r>
            <w:r>
              <w:br/>
            </w:r>
          </w:p>
        </w:tc>
        <w:tc>
          <w:tcPr>
            <w:tcW w:w="5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15F2A558" w14:textId="134E1F68" w:rsidR="00F932FA" w:rsidRPr="005365DF" w:rsidRDefault="00D0282F" w:rsidP="00F932FA">
            <w:pPr>
              <w:rPr>
                <w:b/>
                <w:bCs/>
              </w:rPr>
            </w:pPr>
            <w:r w:rsidRPr="005365DF">
              <w:rPr>
                <w:b/>
                <w:bCs/>
              </w:rPr>
              <w:t>Cons:</w:t>
            </w:r>
          </w:p>
          <w:p w14:paraId="0F2C408E" w14:textId="0CC73A46" w:rsidR="001F23D4" w:rsidRDefault="001F23D4" w:rsidP="00396E91">
            <w:pPr>
              <w:pStyle w:val="ListParagraph"/>
              <w:numPr>
                <w:ilvl w:val="0"/>
                <w:numId w:val="3"/>
              </w:numPr>
            </w:pPr>
            <w:r>
              <w:t xml:space="preserve">Can create professional silos: achieving effective integrated planning will depend on strong relationships across the functions </w:t>
            </w:r>
            <w:r w:rsidR="003F4B79">
              <w:t xml:space="preserve">(see matrix </w:t>
            </w:r>
            <w:r w:rsidR="00CB4C25">
              <w:t>working</w:t>
            </w:r>
            <w:r w:rsidR="003F4B79">
              <w:t xml:space="preserve"> </w:t>
            </w:r>
            <w:r w:rsidR="00627CAA" w:rsidRPr="00CB7379">
              <w:t xml:space="preserve">below </w:t>
            </w:r>
            <w:r w:rsidR="003F4B79">
              <w:t>for one way to mitigate this)</w:t>
            </w:r>
          </w:p>
          <w:p w14:paraId="14CCE7A1" w14:textId="77777777" w:rsidR="001F23D4" w:rsidRDefault="001F23D4" w:rsidP="001F23D4">
            <w:pPr>
              <w:pStyle w:val="ListParagraph"/>
            </w:pPr>
          </w:p>
          <w:p w14:paraId="2E083267" w14:textId="1F7B6923" w:rsidR="00D0282F" w:rsidRDefault="001F23D4" w:rsidP="00333B0E">
            <w:pPr>
              <w:pStyle w:val="ListParagraph"/>
              <w:numPr>
                <w:ilvl w:val="0"/>
                <w:numId w:val="3"/>
              </w:numPr>
            </w:pPr>
            <w:r>
              <w:t xml:space="preserve">Can increase the number of liaison points required between </w:t>
            </w:r>
            <w:r w:rsidR="00D34A81">
              <w:t>M&amp;C</w:t>
            </w:r>
            <w:r>
              <w:t xml:space="preserve"> and other dep</w:t>
            </w:r>
            <w:r w:rsidR="00D34A81">
              <w:t>t</w:t>
            </w:r>
            <w:r>
              <w:t>s</w:t>
            </w:r>
          </w:p>
          <w:p w14:paraId="3E0AE28B" w14:textId="77777777" w:rsidR="001F23D4" w:rsidRDefault="001F23D4" w:rsidP="001F23D4">
            <w:pPr>
              <w:pStyle w:val="ListParagraph"/>
            </w:pPr>
          </w:p>
          <w:p w14:paraId="2F900B21" w14:textId="6B242C3F" w:rsidR="00D0282F" w:rsidRPr="00F932FA" w:rsidRDefault="00D0282F" w:rsidP="00F932FA"/>
        </w:tc>
      </w:tr>
    </w:tbl>
    <w:p w14:paraId="11E46511" w14:textId="06D37075" w:rsidR="00F932FA" w:rsidRDefault="00F932FA" w:rsidP="003818D3"/>
    <w:p w14:paraId="788DF412" w14:textId="78D93FE3" w:rsidR="005365DF" w:rsidRDefault="005365DF" w:rsidP="003818D3"/>
    <w:tbl>
      <w:tblPr>
        <w:tblW w:w="99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6"/>
        <w:gridCol w:w="5143"/>
      </w:tblGrid>
      <w:tr w:rsidR="005365DF" w:rsidRPr="00F932FA" w14:paraId="3804E61D" w14:textId="77777777" w:rsidTr="00A06E2B">
        <w:trPr>
          <w:trHeight w:val="507"/>
        </w:trPr>
        <w:tc>
          <w:tcPr>
            <w:tcW w:w="990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0B096328" w14:textId="73E9CB38" w:rsidR="005365DF" w:rsidRPr="00D0564E" w:rsidRDefault="00D34A81" w:rsidP="00A06E2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Agency-lite structure</w:t>
            </w:r>
            <w:r w:rsidR="00D0564E">
              <w:rPr>
                <w:b/>
                <w:bCs/>
                <w:lang w:val="en-US"/>
              </w:rPr>
              <w:t xml:space="preserve">: </w:t>
            </w:r>
            <w:r w:rsidR="005365DF" w:rsidRPr="00D0564E">
              <w:rPr>
                <w:lang w:val="en-US"/>
              </w:rPr>
              <w:t>A</w:t>
            </w:r>
            <w:r w:rsidR="00A73A3A">
              <w:rPr>
                <w:lang w:val="en-US"/>
              </w:rPr>
              <w:t xml:space="preserve"> discrete</w:t>
            </w:r>
            <w:r w:rsidRPr="00D0564E">
              <w:rPr>
                <w:lang w:val="en-US"/>
              </w:rPr>
              <w:t xml:space="preserve"> in-house</w:t>
            </w:r>
            <w:r w:rsidR="005365DF" w:rsidRPr="00D0564E">
              <w:rPr>
                <w:lang w:val="en-US"/>
              </w:rPr>
              <w:t xml:space="preserve"> </w:t>
            </w:r>
            <w:r w:rsidR="00FA154F" w:rsidRPr="00D0564E">
              <w:rPr>
                <w:lang w:val="en-US"/>
              </w:rPr>
              <w:t xml:space="preserve">team that leads on </w:t>
            </w:r>
            <w:r w:rsidRPr="00D0564E">
              <w:t xml:space="preserve">M&amp;C </w:t>
            </w:r>
            <w:r w:rsidR="00FA154F" w:rsidRPr="00D0564E">
              <w:rPr>
                <w:lang w:val="en-US"/>
              </w:rPr>
              <w:t xml:space="preserve">planning, </w:t>
            </w:r>
            <w:r w:rsidR="00CB4C25">
              <w:rPr>
                <w:lang w:val="en-US"/>
              </w:rPr>
              <w:t>working</w:t>
            </w:r>
            <w:r w:rsidR="00A73A3A">
              <w:rPr>
                <w:lang w:val="en-US"/>
              </w:rPr>
              <w:t xml:space="preserve"> </w:t>
            </w:r>
            <w:r w:rsidR="00FA154F" w:rsidRPr="00D0564E">
              <w:rPr>
                <w:lang w:val="en-US"/>
              </w:rPr>
              <w:t xml:space="preserve">alongside </w:t>
            </w:r>
            <w:r w:rsidRPr="00D0564E">
              <w:rPr>
                <w:lang w:val="en-US"/>
              </w:rPr>
              <w:t>slimmed down</w:t>
            </w:r>
            <w:r w:rsidR="005365DF" w:rsidRPr="00D0564E">
              <w:rPr>
                <w:lang w:val="en-US"/>
              </w:rPr>
              <w:t xml:space="preserve"> specialist functions </w:t>
            </w:r>
          </w:p>
          <w:p w14:paraId="022DBF0A" w14:textId="77777777" w:rsidR="005365DF" w:rsidRDefault="005365DF" w:rsidP="00A06E2B">
            <w:pPr>
              <w:rPr>
                <w:b/>
                <w:bCs/>
                <w:lang w:val="en-US"/>
              </w:rPr>
            </w:pPr>
          </w:p>
          <w:p w14:paraId="3B654B42" w14:textId="144463D6" w:rsidR="005365DF" w:rsidRPr="001F23D4" w:rsidRDefault="005365DF" w:rsidP="00A06E2B">
            <w:pPr>
              <w:rPr>
                <w:i/>
                <w:iCs/>
                <w:cs/>
                <w:lang w:val="en-US" w:bidi="mr-IN"/>
              </w:rPr>
            </w:pPr>
            <w:r w:rsidRPr="001F23D4">
              <w:rPr>
                <w:i/>
                <w:iCs/>
                <w:lang w:val="en-US" w:bidi="mr-IN"/>
              </w:rPr>
              <w:t xml:space="preserve">Example: </w:t>
            </w:r>
            <w:r>
              <w:rPr>
                <w:i/>
                <w:iCs/>
                <w:lang w:val="en-US" w:bidi="mr-IN"/>
              </w:rPr>
              <w:t xml:space="preserve">A team </w:t>
            </w:r>
            <w:r w:rsidR="00D0564E">
              <w:rPr>
                <w:i/>
                <w:iCs/>
                <w:lang w:val="en-US" w:bidi="mr-IN"/>
              </w:rPr>
              <w:t xml:space="preserve">of </w:t>
            </w:r>
            <w:r w:rsidR="00CB4C25">
              <w:rPr>
                <w:i/>
                <w:iCs/>
                <w:lang w:val="en-US" w:bidi="mr-IN"/>
              </w:rPr>
              <w:t xml:space="preserve">comms </w:t>
            </w:r>
            <w:r w:rsidR="00D0564E">
              <w:rPr>
                <w:i/>
                <w:iCs/>
                <w:lang w:val="en-US" w:bidi="mr-IN"/>
              </w:rPr>
              <w:t xml:space="preserve">generalists is </w:t>
            </w:r>
            <w:r>
              <w:rPr>
                <w:i/>
                <w:iCs/>
                <w:lang w:val="en-US" w:bidi="mr-IN"/>
              </w:rPr>
              <w:t xml:space="preserve">responsible for planning and commissioning </w:t>
            </w:r>
            <w:r w:rsidR="003F4B79">
              <w:rPr>
                <w:i/>
                <w:iCs/>
                <w:lang w:val="en-US" w:bidi="mr-IN"/>
              </w:rPr>
              <w:t xml:space="preserve">work </w:t>
            </w:r>
            <w:r w:rsidR="00D34A81">
              <w:rPr>
                <w:i/>
                <w:iCs/>
                <w:lang w:val="en-US" w:bidi="mr-IN"/>
              </w:rPr>
              <w:t>(e.g. Strategic Communications)</w:t>
            </w:r>
            <w:r w:rsidR="003F4B79">
              <w:rPr>
                <w:i/>
                <w:iCs/>
                <w:lang w:val="en-US" w:bidi="mr-IN"/>
              </w:rPr>
              <w:t>,</w:t>
            </w:r>
            <w:r w:rsidR="00D34A81">
              <w:rPr>
                <w:i/>
                <w:iCs/>
                <w:lang w:val="en-US" w:bidi="mr-IN"/>
              </w:rPr>
              <w:t xml:space="preserve"> </w:t>
            </w:r>
            <w:r w:rsidR="00D0564E">
              <w:rPr>
                <w:i/>
                <w:iCs/>
                <w:lang w:val="en-US" w:bidi="mr-IN"/>
              </w:rPr>
              <w:t>pulling in colleagues with specific expertise</w:t>
            </w:r>
            <w:r w:rsidR="00D34A81">
              <w:rPr>
                <w:i/>
                <w:iCs/>
                <w:lang w:val="en-US" w:bidi="mr-IN"/>
              </w:rPr>
              <w:t xml:space="preserve"> </w:t>
            </w:r>
            <w:r w:rsidR="00A73A3A">
              <w:rPr>
                <w:i/>
                <w:iCs/>
                <w:lang w:val="en-US" w:bidi="mr-IN"/>
              </w:rPr>
              <w:t xml:space="preserve">or responsibilities for delivery </w:t>
            </w:r>
            <w:r w:rsidR="00D34A81">
              <w:rPr>
                <w:i/>
                <w:iCs/>
                <w:lang w:val="en-US" w:bidi="mr-IN"/>
              </w:rPr>
              <w:t>(e.g.</w:t>
            </w:r>
            <w:r w:rsidR="00D0564E">
              <w:rPr>
                <w:i/>
                <w:iCs/>
                <w:lang w:val="en-US" w:bidi="mr-IN"/>
              </w:rPr>
              <w:t xml:space="preserve"> from</w:t>
            </w:r>
            <w:r>
              <w:rPr>
                <w:i/>
                <w:iCs/>
                <w:lang w:val="en-US" w:bidi="mr-IN"/>
              </w:rPr>
              <w:t xml:space="preserve"> Content, </w:t>
            </w:r>
            <w:r w:rsidRPr="001F23D4">
              <w:rPr>
                <w:i/>
                <w:iCs/>
                <w:lang w:val="en-US" w:bidi="mr-IN"/>
              </w:rPr>
              <w:t>Digital</w:t>
            </w:r>
            <w:r w:rsidR="003F4B79">
              <w:rPr>
                <w:i/>
                <w:iCs/>
                <w:lang w:val="en-US" w:bidi="mr-IN"/>
              </w:rPr>
              <w:t xml:space="preserve"> and</w:t>
            </w:r>
            <w:r w:rsidRPr="001F23D4">
              <w:rPr>
                <w:i/>
                <w:iCs/>
                <w:lang w:val="en-US" w:bidi="mr-IN"/>
              </w:rPr>
              <w:t xml:space="preserve"> Media</w:t>
            </w:r>
            <w:r w:rsidR="00A73A3A">
              <w:rPr>
                <w:i/>
                <w:iCs/>
                <w:lang w:val="en-US" w:bidi="mr-IN"/>
              </w:rPr>
              <w:t xml:space="preserve"> teams</w:t>
            </w:r>
            <w:r w:rsidR="00D34A81">
              <w:rPr>
                <w:i/>
                <w:iCs/>
                <w:lang w:val="en-US" w:bidi="mr-IN"/>
              </w:rPr>
              <w:t>)</w:t>
            </w:r>
            <w:r>
              <w:rPr>
                <w:i/>
                <w:iCs/>
                <w:lang w:val="en-US" w:bidi="mr-IN"/>
              </w:rPr>
              <w:t>.</w:t>
            </w:r>
            <w:r w:rsidR="00EE633E">
              <w:rPr>
                <w:i/>
                <w:iCs/>
                <w:lang w:val="en-US" w:bidi="mr-IN"/>
              </w:rPr>
              <w:br/>
            </w:r>
            <w:r w:rsidRPr="001F23D4">
              <w:rPr>
                <w:i/>
                <w:iCs/>
                <w:lang w:val="en-US" w:bidi="mr-IN"/>
              </w:rPr>
              <w:br/>
            </w:r>
          </w:p>
        </w:tc>
      </w:tr>
      <w:tr w:rsidR="005365DF" w:rsidRPr="00F932FA" w14:paraId="2FFB06B3" w14:textId="77777777" w:rsidTr="00A06E2B">
        <w:trPr>
          <w:trHeight w:val="875"/>
        </w:trPr>
        <w:tc>
          <w:tcPr>
            <w:tcW w:w="47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EFCB6C9" w14:textId="371785AA" w:rsidR="005365DF" w:rsidRPr="005365DF" w:rsidRDefault="005365DF" w:rsidP="00A06E2B">
            <w:pPr>
              <w:rPr>
                <w:b/>
                <w:bCs/>
              </w:rPr>
            </w:pPr>
            <w:r w:rsidRPr="005365DF">
              <w:rPr>
                <w:b/>
                <w:bCs/>
              </w:rPr>
              <w:t>Pros:</w:t>
            </w:r>
          </w:p>
          <w:p w14:paraId="245D46DE" w14:textId="20FC2559" w:rsidR="005365DF" w:rsidRDefault="005365DF" w:rsidP="00BE2327">
            <w:pPr>
              <w:pStyle w:val="ListParagraph"/>
              <w:numPr>
                <w:ilvl w:val="0"/>
                <w:numId w:val="2"/>
              </w:numPr>
            </w:pPr>
            <w:r>
              <w:t xml:space="preserve">Supports a strong </w:t>
            </w:r>
            <w:r w:rsidR="00B17B73">
              <w:t xml:space="preserve">strategic </w:t>
            </w:r>
            <w:r>
              <w:t xml:space="preserve">focus </w:t>
            </w:r>
            <w:r w:rsidR="00B17B73">
              <w:t>and more</w:t>
            </w:r>
            <w:r>
              <w:t xml:space="preserve"> integrated planning across channels</w:t>
            </w:r>
            <w:r w:rsidR="00FA154F">
              <w:t>, for example when delivering campaigns</w:t>
            </w:r>
            <w:r>
              <w:br/>
            </w:r>
          </w:p>
          <w:p w14:paraId="0E96ECF1" w14:textId="0B584F25" w:rsidR="00FA154F" w:rsidRDefault="00FA154F" w:rsidP="00D058C0">
            <w:pPr>
              <w:pStyle w:val="ListParagraph"/>
              <w:numPr>
                <w:ilvl w:val="0"/>
                <w:numId w:val="2"/>
              </w:numPr>
            </w:pPr>
            <w:r>
              <w:t>Fewer</w:t>
            </w:r>
            <w:r w:rsidR="005365DF">
              <w:t xml:space="preserve"> liaison points required between the directorate and other departments</w:t>
            </w:r>
            <w:r w:rsidR="00D0564E">
              <w:br/>
            </w:r>
          </w:p>
          <w:p w14:paraId="18B9863F" w14:textId="6CA4F2C0" w:rsidR="00FA154F" w:rsidRPr="00F932FA" w:rsidRDefault="00FA154F" w:rsidP="00FA154F">
            <w:pPr>
              <w:pStyle w:val="ListParagraph"/>
            </w:pPr>
          </w:p>
        </w:tc>
        <w:tc>
          <w:tcPr>
            <w:tcW w:w="51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14:paraId="205FE386" w14:textId="1C6F9D08" w:rsidR="005365DF" w:rsidRPr="005365DF" w:rsidRDefault="005365DF" w:rsidP="00A06E2B">
            <w:pPr>
              <w:rPr>
                <w:b/>
                <w:bCs/>
              </w:rPr>
            </w:pPr>
            <w:r w:rsidRPr="005365DF">
              <w:rPr>
                <w:b/>
                <w:bCs/>
              </w:rPr>
              <w:t>Cons:</w:t>
            </w:r>
          </w:p>
          <w:p w14:paraId="3C331F20" w14:textId="07A2BE96" w:rsidR="005365DF" w:rsidRDefault="00FA154F" w:rsidP="005365DF">
            <w:pPr>
              <w:pStyle w:val="ListParagraph"/>
              <w:numPr>
                <w:ilvl w:val="0"/>
                <w:numId w:val="4"/>
              </w:numPr>
            </w:pPr>
            <w:r>
              <w:t>It c</w:t>
            </w:r>
            <w:r w:rsidR="005365DF">
              <w:t xml:space="preserve">an be harder to recruit strong candidates </w:t>
            </w:r>
            <w:r>
              <w:t>with the breadth of experience</w:t>
            </w:r>
            <w:r w:rsidR="00D0564E">
              <w:t xml:space="preserve"> and skills</w:t>
            </w:r>
            <w:r>
              <w:t xml:space="preserve"> </w:t>
            </w:r>
            <w:r w:rsidR="005365DF">
              <w:t xml:space="preserve">for </w:t>
            </w:r>
            <w:r>
              <w:t xml:space="preserve">the more </w:t>
            </w:r>
            <w:r w:rsidR="005365DF">
              <w:t xml:space="preserve">generalist </w:t>
            </w:r>
            <w:r>
              <w:t xml:space="preserve">strategic planning </w:t>
            </w:r>
            <w:r w:rsidR="005365DF">
              <w:t>roles</w:t>
            </w:r>
            <w:r>
              <w:br/>
            </w:r>
          </w:p>
          <w:p w14:paraId="103DDAAE" w14:textId="486EA0C3" w:rsidR="005365DF" w:rsidRPr="00F932FA" w:rsidRDefault="003F4B79" w:rsidP="00D0564E">
            <w:pPr>
              <w:pStyle w:val="ListParagraph"/>
              <w:numPr>
                <w:ilvl w:val="0"/>
                <w:numId w:val="4"/>
              </w:numPr>
            </w:pPr>
            <w:r>
              <w:t>In separating account management and execution responsibilities, s</w:t>
            </w:r>
            <w:r w:rsidR="00D0564E">
              <w:t xml:space="preserve">pecialist </w:t>
            </w:r>
            <w:r w:rsidR="00B17B73">
              <w:t>post-holder</w:t>
            </w:r>
            <w:r w:rsidR="00D0564E">
              <w:t xml:space="preserve">s can feel </w:t>
            </w:r>
            <w:r w:rsidR="00B17B73">
              <w:t xml:space="preserve">less connected to internal customers </w:t>
            </w:r>
            <w:r w:rsidR="00A73A3A">
              <w:t>and their goals</w:t>
            </w:r>
            <w:r w:rsidR="00D0564E">
              <w:t xml:space="preserve"> </w:t>
            </w:r>
          </w:p>
        </w:tc>
      </w:tr>
    </w:tbl>
    <w:p w14:paraId="4C29DE75" w14:textId="77777777" w:rsidR="00FA154F" w:rsidRDefault="00FA154F"/>
    <w:tbl>
      <w:tblPr>
        <w:tblW w:w="99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7509"/>
      </w:tblGrid>
      <w:tr w:rsidR="00FA154F" w:rsidRPr="00F932FA" w14:paraId="494EA7D8" w14:textId="77777777" w:rsidTr="00CB4C25">
        <w:trPr>
          <w:trHeight w:val="292"/>
        </w:trPr>
        <w:tc>
          <w:tcPr>
            <w:tcW w:w="9909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780F549" w14:textId="09A0E827" w:rsidR="00FA154F" w:rsidRPr="005365DF" w:rsidRDefault="00FA154F" w:rsidP="00A06E2B">
            <w:pPr>
              <w:rPr>
                <w:b/>
                <w:bCs/>
              </w:rPr>
            </w:pPr>
            <w:r>
              <w:rPr>
                <w:b/>
                <w:bCs/>
              </w:rPr>
              <w:t>Examples of other structural approaches</w:t>
            </w:r>
          </w:p>
        </w:tc>
      </w:tr>
      <w:tr w:rsidR="00FA154F" w:rsidRPr="00F932FA" w14:paraId="68397313" w14:textId="77777777" w:rsidTr="00FA154F">
        <w:trPr>
          <w:trHeight w:val="8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5C070C8C" w14:textId="2D578A2A" w:rsidR="00FA154F" w:rsidRDefault="00FA154F" w:rsidP="00FA154F">
            <w:pPr>
              <w:rPr>
                <w:b/>
                <w:bCs/>
              </w:rPr>
            </w:pPr>
            <w:r>
              <w:rPr>
                <w:b/>
                <w:bCs/>
              </w:rPr>
              <w:t>By audience (or customer)</w:t>
            </w:r>
            <w:r w:rsidR="00B17B73">
              <w:rPr>
                <w:b/>
                <w:bCs/>
              </w:rPr>
              <w:t xml:space="preserve"> </w:t>
            </w:r>
            <w:r w:rsidR="00CC6857">
              <w:rPr>
                <w:b/>
                <w:bCs/>
              </w:rPr>
              <w:t>type</w:t>
            </w:r>
          </w:p>
        </w:tc>
        <w:tc>
          <w:tcPr>
            <w:tcW w:w="75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03A0C218" w14:textId="5D871E00" w:rsidR="00B17B73" w:rsidRPr="00CC6857" w:rsidRDefault="00CC6857" w:rsidP="00A06E2B">
            <w:pPr>
              <w:rPr>
                <w:i/>
                <w:iCs/>
              </w:rPr>
            </w:pPr>
            <w:r w:rsidRPr="00CC6857">
              <w:t xml:space="preserve">Appropriate </w:t>
            </w:r>
            <w:r>
              <w:t>where different audience segments have highly distinct needs and whe</w:t>
            </w:r>
            <w:r w:rsidR="00373ED1">
              <w:t>n</w:t>
            </w:r>
            <w:r>
              <w:t xml:space="preserve"> targeting them requires specific knowledge/expertise</w:t>
            </w:r>
          </w:p>
          <w:p w14:paraId="0E323B67" w14:textId="381DA740" w:rsidR="00EF7571" w:rsidRDefault="00EF7571" w:rsidP="00A06E2B">
            <w:pPr>
              <w:rPr>
                <w:i/>
                <w:iCs/>
              </w:rPr>
            </w:pPr>
          </w:p>
          <w:p w14:paraId="64A60B01" w14:textId="67AED31A" w:rsidR="00EF7571" w:rsidRPr="00EF7571" w:rsidRDefault="00CC6857" w:rsidP="00A06E2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For example, creating separate science and consumer media teams in a medical research charity. </w:t>
            </w:r>
          </w:p>
          <w:p w14:paraId="1579442F" w14:textId="56332860" w:rsidR="00B17B73" w:rsidRPr="00B17B73" w:rsidRDefault="00B17B73" w:rsidP="00A06E2B"/>
        </w:tc>
      </w:tr>
      <w:tr w:rsidR="00CC6857" w:rsidRPr="00F932FA" w14:paraId="39BD368A" w14:textId="77777777" w:rsidTr="00FA154F">
        <w:trPr>
          <w:trHeight w:val="8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25D67C7" w14:textId="125C459A" w:rsidR="00CC6857" w:rsidRDefault="00CC6857" w:rsidP="00FA15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By audience (or customer) goal </w:t>
            </w:r>
          </w:p>
        </w:tc>
        <w:tc>
          <w:tcPr>
            <w:tcW w:w="75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4BC030C3" w14:textId="5213430E" w:rsidR="00CC6857" w:rsidRDefault="00FF3105" w:rsidP="00A06E2B">
            <w:r>
              <w:t xml:space="preserve">For charities strongly focused on long-term audience acquisition strategies </w:t>
            </w:r>
          </w:p>
          <w:p w14:paraId="64182E66" w14:textId="77777777" w:rsidR="00CC6857" w:rsidRDefault="00CC6857" w:rsidP="00A06E2B">
            <w:pPr>
              <w:rPr>
                <w:i/>
                <w:iCs/>
              </w:rPr>
            </w:pPr>
          </w:p>
          <w:p w14:paraId="14631F87" w14:textId="54C5EFA0" w:rsidR="00CC6857" w:rsidRDefault="00FF3105" w:rsidP="00FF3105">
            <w:pPr>
              <w:rPr>
                <w:b/>
                <w:bCs/>
              </w:rPr>
            </w:pPr>
            <w:r>
              <w:rPr>
                <w:i/>
                <w:iCs/>
              </w:rPr>
              <w:t>A few</w:t>
            </w:r>
            <w:r w:rsidR="00CC6857" w:rsidRPr="00EF7571">
              <w:rPr>
                <w:i/>
                <w:iCs/>
              </w:rPr>
              <w:t xml:space="preserve"> charities have clustered </w:t>
            </w:r>
            <w:r>
              <w:rPr>
                <w:i/>
                <w:iCs/>
              </w:rPr>
              <w:t xml:space="preserve">M&amp;C </w:t>
            </w:r>
            <w:r w:rsidR="00CC6857" w:rsidRPr="00EF7571">
              <w:rPr>
                <w:i/>
                <w:iCs/>
              </w:rPr>
              <w:t>s</w:t>
            </w:r>
            <w:r w:rsidR="00373ED1">
              <w:rPr>
                <w:i/>
                <w:iCs/>
              </w:rPr>
              <w:t>taff</w:t>
            </w:r>
            <w:r w:rsidR="00CC6857" w:rsidRPr="00EF7571">
              <w:rPr>
                <w:i/>
                <w:iCs/>
              </w:rPr>
              <w:t xml:space="preserve"> around the core stages of an audience journey</w:t>
            </w:r>
            <w:r w:rsidR="00373ED1">
              <w:rPr>
                <w:i/>
                <w:iCs/>
              </w:rPr>
              <w:t>, with teams leading on</w:t>
            </w:r>
            <w:r w:rsidR="00CC6857" w:rsidRPr="00EF7571">
              <w:rPr>
                <w:i/>
                <w:iCs/>
              </w:rPr>
              <w:t>: Awareness (including brand building and media staff),</w:t>
            </w:r>
            <w:r>
              <w:rPr>
                <w:i/>
                <w:iCs/>
              </w:rPr>
              <w:t xml:space="preserve"> Engagement (</w:t>
            </w:r>
            <w:r w:rsidR="00CB7379">
              <w:rPr>
                <w:i/>
                <w:iCs/>
              </w:rPr>
              <w:t>digital, marketing and creative staff</w:t>
            </w:r>
            <w:r>
              <w:rPr>
                <w:i/>
                <w:iCs/>
              </w:rPr>
              <w:t>)</w:t>
            </w:r>
            <w:r w:rsidR="00CC685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 Loyalty (staff responsible for deepening relationships through audience insights</w:t>
            </w:r>
            <w:r w:rsidR="00373ED1">
              <w:rPr>
                <w:i/>
                <w:iCs/>
              </w:rPr>
              <w:t xml:space="preserve">/customer </w:t>
            </w:r>
            <w:r>
              <w:rPr>
                <w:i/>
                <w:iCs/>
              </w:rPr>
              <w:t>journey management).</w:t>
            </w:r>
            <w:r>
              <w:rPr>
                <w:i/>
                <w:iCs/>
              </w:rPr>
              <w:br/>
            </w:r>
          </w:p>
        </w:tc>
      </w:tr>
      <w:tr w:rsidR="00FA154F" w:rsidRPr="00F932FA" w14:paraId="25AC01AF" w14:textId="77777777" w:rsidTr="00FA154F">
        <w:trPr>
          <w:trHeight w:val="8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02C46A19" w14:textId="63A02328" w:rsidR="00FA154F" w:rsidRDefault="00FA154F" w:rsidP="00FA154F">
            <w:pPr>
              <w:rPr>
                <w:b/>
                <w:bCs/>
              </w:rPr>
            </w:pPr>
            <w:r>
              <w:rPr>
                <w:b/>
                <w:bCs/>
              </w:rPr>
              <w:t>By product</w:t>
            </w:r>
            <w:r w:rsidR="00B17B7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activity</w:t>
            </w:r>
            <w:r w:rsidR="00B17B73">
              <w:rPr>
                <w:b/>
                <w:bCs/>
              </w:rPr>
              <w:t xml:space="preserve"> or internal </w:t>
            </w:r>
            <w:r w:rsidR="00CB4C25">
              <w:rPr>
                <w:b/>
                <w:bCs/>
              </w:rPr>
              <w:t>customer</w:t>
            </w:r>
          </w:p>
        </w:tc>
        <w:tc>
          <w:tcPr>
            <w:tcW w:w="75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20706069" w14:textId="248E82B1" w:rsidR="00FF3105" w:rsidRPr="00EE633E" w:rsidRDefault="00EE633E" w:rsidP="00A06E2B">
            <w:r>
              <w:t>Appropriate w</w:t>
            </w:r>
            <w:r w:rsidRPr="00EE633E">
              <w:t xml:space="preserve">here there are low synergies between </w:t>
            </w:r>
            <w:r w:rsidR="00CB4C25">
              <w:t xml:space="preserve">org-wide </w:t>
            </w:r>
            <w:r>
              <w:t xml:space="preserve">activities and </w:t>
            </w:r>
            <w:r w:rsidR="00610FC9">
              <w:t>audience/</w:t>
            </w:r>
            <w:r>
              <w:t xml:space="preserve">channels </w:t>
            </w:r>
            <w:r w:rsidR="00CB4C25">
              <w:t xml:space="preserve">and those for </w:t>
            </w:r>
            <w:r>
              <w:t>specific initiatives</w:t>
            </w:r>
            <w:r w:rsidR="00610FC9">
              <w:t>,</w:t>
            </w:r>
            <w:r>
              <w:t xml:space="preserve"> </w:t>
            </w:r>
            <w:r w:rsidRPr="00EE633E">
              <w:t xml:space="preserve">and/or </w:t>
            </w:r>
            <w:r w:rsidR="00CB4C25">
              <w:t xml:space="preserve">where </w:t>
            </w:r>
            <w:r>
              <w:t>M&amp;C staff</w:t>
            </w:r>
            <w:r w:rsidR="00CB4C25">
              <w:t xml:space="preserve"> are required </w:t>
            </w:r>
            <w:r>
              <w:t xml:space="preserve">to have </w:t>
            </w:r>
            <w:r w:rsidRPr="00EE633E">
              <w:t xml:space="preserve">specialist knowledge of </w:t>
            </w:r>
            <w:r>
              <w:t xml:space="preserve">those initiatives </w:t>
            </w:r>
          </w:p>
          <w:p w14:paraId="2C19BDC9" w14:textId="77777777" w:rsidR="00EE633E" w:rsidRDefault="00EE633E" w:rsidP="00A06E2B">
            <w:pPr>
              <w:rPr>
                <w:b/>
                <w:bCs/>
              </w:rPr>
            </w:pPr>
          </w:p>
          <w:p w14:paraId="0D75D9A2" w14:textId="22F54B72" w:rsidR="00FF3105" w:rsidRDefault="00FF3105" w:rsidP="00EE633E">
            <w:pPr>
              <w:rPr>
                <w:i/>
                <w:iCs/>
              </w:rPr>
            </w:pPr>
            <w:r w:rsidRPr="00FF3105">
              <w:rPr>
                <w:i/>
                <w:iCs/>
              </w:rPr>
              <w:t xml:space="preserve">For example, </w:t>
            </w:r>
            <w:r w:rsidR="00C91D30">
              <w:rPr>
                <w:i/>
                <w:iCs/>
              </w:rPr>
              <w:t xml:space="preserve">a charity sets up a new division </w:t>
            </w:r>
            <w:r w:rsidR="00CB4C25">
              <w:rPr>
                <w:i/>
                <w:iCs/>
              </w:rPr>
              <w:t>targeting a new audience segment or market and requiring</w:t>
            </w:r>
            <w:r w:rsidR="00C91D30">
              <w:rPr>
                <w:i/>
                <w:iCs/>
              </w:rPr>
              <w:t xml:space="preserve"> M&amp;C support. </w:t>
            </w:r>
            <w:r w:rsidR="00CB4C25">
              <w:rPr>
                <w:i/>
                <w:iCs/>
              </w:rPr>
              <w:t>In these cases,</w:t>
            </w:r>
            <w:r w:rsidR="00C91D30">
              <w:rPr>
                <w:i/>
                <w:iCs/>
              </w:rPr>
              <w:t xml:space="preserve"> </w:t>
            </w:r>
            <w:r w:rsidR="00CB4C25">
              <w:rPr>
                <w:i/>
                <w:iCs/>
              </w:rPr>
              <w:t xml:space="preserve">M&amp;C </w:t>
            </w:r>
            <w:r w:rsidR="00C91D30">
              <w:rPr>
                <w:i/>
                <w:iCs/>
              </w:rPr>
              <w:t xml:space="preserve">roles/teams </w:t>
            </w:r>
            <w:r w:rsidR="00CB4C25">
              <w:rPr>
                <w:i/>
                <w:iCs/>
              </w:rPr>
              <w:t>are sometimes</w:t>
            </w:r>
            <w:r w:rsidR="00C91D30">
              <w:rPr>
                <w:i/>
                <w:iCs/>
              </w:rPr>
              <w:t xml:space="preserve"> embedded within the new division, although they may still report to the central M&amp;C team. </w:t>
            </w:r>
          </w:p>
          <w:p w14:paraId="4426F5AF" w14:textId="17FE2FA0" w:rsidR="00EE633E" w:rsidRPr="00FF3105" w:rsidRDefault="00EE633E" w:rsidP="00EE633E">
            <w:pPr>
              <w:rPr>
                <w:i/>
                <w:iCs/>
              </w:rPr>
            </w:pPr>
          </w:p>
        </w:tc>
      </w:tr>
      <w:tr w:rsidR="003F4B79" w:rsidRPr="00F932FA" w14:paraId="7B334A2D" w14:textId="77777777" w:rsidTr="006B716B">
        <w:trPr>
          <w:trHeight w:val="8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738A4C31" w14:textId="77777777" w:rsidR="003F4B79" w:rsidRDefault="003F4B79" w:rsidP="006B716B">
            <w:pPr>
              <w:rPr>
                <w:b/>
                <w:bCs/>
              </w:rPr>
            </w:pPr>
            <w:r>
              <w:rPr>
                <w:b/>
                <w:bCs/>
              </w:rPr>
              <w:t>By geography</w:t>
            </w:r>
          </w:p>
        </w:tc>
        <w:tc>
          <w:tcPr>
            <w:tcW w:w="75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1B99E4DF" w14:textId="2F9C5128" w:rsidR="003F4B79" w:rsidRPr="00EE633E" w:rsidRDefault="003F4B79" w:rsidP="006B716B">
            <w:r>
              <w:t>For charities with a global footprint, where audience engagement depends on understanding local</w:t>
            </w:r>
            <w:r w:rsidRPr="00EE633E">
              <w:t xml:space="preserve"> operating cultures and conditions</w:t>
            </w:r>
          </w:p>
          <w:p w14:paraId="79EDF63B" w14:textId="77777777" w:rsidR="003F4B79" w:rsidRPr="00EE633E" w:rsidRDefault="003F4B79" w:rsidP="006B716B"/>
          <w:p w14:paraId="390C309E" w14:textId="77777777" w:rsidR="003F4B79" w:rsidRPr="00FF3105" w:rsidRDefault="003F4B79" w:rsidP="006B716B">
            <w:pPr>
              <w:rPr>
                <w:i/>
                <w:iCs/>
              </w:rPr>
            </w:pPr>
            <w:r w:rsidRPr="00FF3105">
              <w:rPr>
                <w:i/>
                <w:iCs/>
              </w:rPr>
              <w:t xml:space="preserve">For example, an international development charity might </w:t>
            </w:r>
            <w:r>
              <w:rPr>
                <w:i/>
                <w:iCs/>
              </w:rPr>
              <w:t xml:space="preserve">create separate M&amp;C teams for different regions. </w:t>
            </w:r>
          </w:p>
          <w:p w14:paraId="23B1E88E" w14:textId="77777777" w:rsidR="003F4B79" w:rsidRDefault="003F4B79" w:rsidP="006B716B">
            <w:pPr>
              <w:rPr>
                <w:b/>
                <w:bCs/>
              </w:rPr>
            </w:pPr>
          </w:p>
        </w:tc>
      </w:tr>
      <w:tr w:rsidR="003F4B79" w:rsidRPr="00F932FA" w14:paraId="42BA2014" w14:textId="77777777" w:rsidTr="000E0EF5">
        <w:trPr>
          <w:trHeight w:val="87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68287024" w14:textId="53F7A6EB" w:rsidR="003F4B79" w:rsidRPr="00FA154F" w:rsidRDefault="003F4B79" w:rsidP="000E0EF5">
            <w:pPr>
              <w:rPr>
                <w:b/>
                <w:bCs/>
              </w:rPr>
            </w:pPr>
            <w:r>
              <w:rPr>
                <w:b/>
                <w:bCs/>
              </w:rPr>
              <w:t>Through matrix working</w:t>
            </w:r>
          </w:p>
        </w:tc>
        <w:tc>
          <w:tcPr>
            <w:tcW w:w="750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62" w:type="dxa"/>
              <w:left w:w="125" w:type="dxa"/>
              <w:bottom w:w="62" w:type="dxa"/>
              <w:right w:w="125" w:type="dxa"/>
            </w:tcMar>
          </w:tcPr>
          <w:p w14:paraId="72630ADD" w14:textId="1AE244EC" w:rsidR="003F4B79" w:rsidRPr="00FF3105" w:rsidRDefault="003F4B79" w:rsidP="000E0EF5">
            <w:r>
              <w:t xml:space="preserve">Ideal for supporting diverse services and products, </w:t>
            </w:r>
            <w:r w:rsidRPr="00FF3105">
              <w:t>a matrix structure provide</w:t>
            </w:r>
            <w:r>
              <w:t>s</w:t>
            </w:r>
            <w:r w:rsidRPr="00FF3105">
              <w:t xml:space="preserve"> internal customers with innovative options </w:t>
            </w:r>
            <w:r>
              <w:t xml:space="preserve">delivered by </w:t>
            </w:r>
            <w:r w:rsidRPr="00FF3105">
              <w:t xml:space="preserve">multi-disciplinary teams that take on </w:t>
            </w:r>
            <w:r>
              <w:t xml:space="preserve">clearly </w:t>
            </w:r>
            <w:r w:rsidRPr="00FF3105">
              <w:t xml:space="preserve">defined projects </w:t>
            </w:r>
          </w:p>
          <w:p w14:paraId="5CA4AECE" w14:textId="77777777" w:rsidR="003F4B79" w:rsidRDefault="003F4B79" w:rsidP="000E0EF5">
            <w:pPr>
              <w:rPr>
                <w:b/>
                <w:bCs/>
              </w:rPr>
            </w:pPr>
          </w:p>
          <w:p w14:paraId="1AA839B2" w14:textId="349124FA" w:rsidR="003F4B79" w:rsidRPr="00CC6857" w:rsidRDefault="003F4B79" w:rsidP="003F4B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Note: </w:t>
            </w:r>
            <w:r w:rsidRPr="00CC6857">
              <w:rPr>
                <w:i/>
                <w:iCs/>
              </w:rPr>
              <w:t xml:space="preserve">Some functional structures </w:t>
            </w:r>
            <w:r>
              <w:rPr>
                <w:i/>
                <w:iCs/>
              </w:rPr>
              <w:t>(</w:t>
            </w:r>
            <w:r w:rsidRPr="006E595A">
              <w:rPr>
                <w:i/>
                <w:iCs/>
                <w:strike/>
              </w:rPr>
              <w:t>see p1</w:t>
            </w:r>
            <w:r>
              <w:rPr>
                <w:i/>
                <w:iCs/>
              </w:rPr>
              <w:t xml:space="preserve">) </w:t>
            </w:r>
            <w:r w:rsidRPr="00CC6857">
              <w:rPr>
                <w:i/>
                <w:iCs/>
              </w:rPr>
              <w:t>use</w:t>
            </w:r>
            <w:r>
              <w:rPr>
                <w:i/>
                <w:iCs/>
              </w:rPr>
              <w:t xml:space="preserve"> a complementary</w:t>
            </w:r>
            <w:r w:rsidRPr="00CC6857">
              <w:rPr>
                <w:i/>
                <w:iCs/>
              </w:rPr>
              <w:t xml:space="preserve"> matrix team</w:t>
            </w:r>
            <w:r>
              <w:rPr>
                <w:i/>
                <w:iCs/>
              </w:rPr>
              <w:t xml:space="preserve"> approach </w:t>
            </w:r>
            <w:r w:rsidRPr="00CC6857">
              <w:rPr>
                <w:i/>
                <w:iCs/>
              </w:rPr>
              <w:t>to enhance integrated planning</w:t>
            </w:r>
            <w:r>
              <w:rPr>
                <w:i/>
                <w:iCs/>
              </w:rPr>
              <w:t xml:space="preserve"> for high priority areas</w:t>
            </w:r>
            <w:r w:rsidR="0054726E">
              <w:rPr>
                <w:i/>
                <w:iCs/>
              </w:rPr>
              <w:t>. T</w:t>
            </w:r>
            <w:r>
              <w:rPr>
                <w:i/>
                <w:iCs/>
              </w:rPr>
              <w:t>his typically involves introducing dual reporting lines</w:t>
            </w:r>
            <w:r w:rsidRPr="00CC6857">
              <w:rPr>
                <w:i/>
                <w:iCs/>
              </w:rPr>
              <w:t xml:space="preserve">. </w:t>
            </w:r>
            <w:r w:rsidR="0054726E">
              <w:rPr>
                <w:i/>
                <w:iCs/>
              </w:rPr>
              <w:t>For further detail, see</w:t>
            </w:r>
            <w:r w:rsidR="004A259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the </w:t>
            </w:r>
            <w:hyperlink r:id="rId9" w:history="1">
              <w:r w:rsidRPr="003F4B79">
                <w:rPr>
                  <w:rStyle w:val="Hyperlink"/>
                  <w:i/>
                  <w:iCs/>
                </w:rPr>
                <w:t>article</w:t>
              </w:r>
            </w:hyperlink>
            <w:r>
              <w:rPr>
                <w:i/>
                <w:iCs/>
              </w:rPr>
              <w:t xml:space="preserve"> on</w:t>
            </w:r>
            <w:r w:rsidR="00CB4C25">
              <w:rPr>
                <w:i/>
                <w:iCs/>
              </w:rPr>
              <w:t xml:space="preserve"> structures for</w:t>
            </w:r>
            <w:r>
              <w:rPr>
                <w:i/>
                <w:iCs/>
              </w:rPr>
              <w:t xml:space="preserve"> audience focus in the Beyond the Organogram series. </w:t>
            </w:r>
            <w:r w:rsidR="00CB4C25">
              <w:rPr>
                <w:i/>
                <w:iCs/>
              </w:rPr>
              <w:br/>
            </w:r>
          </w:p>
        </w:tc>
      </w:tr>
    </w:tbl>
    <w:p w14:paraId="536E831E" w14:textId="77777777" w:rsidR="005365DF" w:rsidRDefault="005365DF" w:rsidP="003818D3"/>
    <w:p w14:paraId="1F780081" w14:textId="72360D0F" w:rsidR="00CB3DF3" w:rsidRDefault="00642BFE" w:rsidP="00642BFE">
      <w:pPr>
        <w:ind w:firstLine="720"/>
        <w:jc w:val="right"/>
      </w:pPr>
      <w:r>
        <w:rPr>
          <w:noProof/>
        </w:rPr>
        <w:drawing>
          <wp:inline distT="0" distB="0" distL="0" distR="0" wp14:anchorId="1E9FE553" wp14:editId="772D51C7">
            <wp:extent cx="1572260" cy="19685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C1CD" w14:textId="469F49CB" w:rsidR="00CB3DF3" w:rsidRDefault="005C6226" w:rsidP="00F169D2">
      <w:pPr>
        <w:jc w:val="right"/>
      </w:pPr>
      <w:r>
        <w:t>©</w:t>
      </w:r>
      <w:hyperlink r:id="rId10" w:history="1">
        <w:r w:rsidR="00405F6B" w:rsidRPr="001529E3">
          <w:rPr>
            <w:rStyle w:val="Hyperlink"/>
          </w:rPr>
          <w:t>randallfox.co.uk</w:t>
        </w:r>
      </w:hyperlink>
      <w:r w:rsidR="00405F6B">
        <w:t xml:space="preserve"> 2021</w:t>
      </w:r>
    </w:p>
    <w:sectPr w:rsidR="00CB3DF3" w:rsidSect="00625C6D">
      <w:footerReference w:type="default" r:id="rId11"/>
      <w:pgSz w:w="11900" w:h="16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18299" w14:textId="77777777" w:rsidR="004E606A" w:rsidRDefault="004E606A" w:rsidP="00EE633E">
      <w:r>
        <w:separator/>
      </w:r>
    </w:p>
  </w:endnote>
  <w:endnote w:type="continuationSeparator" w:id="0">
    <w:p w14:paraId="58E68E88" w14:textId="77777777" w:rsidR="004E606A" w:rsidRDefault="004E606A" w:rsidP="00EE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1059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40C50" w14:textId="2ED8723A" w:rsidR="00EE633E" w:rsidRDefault="00EE6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36749" w14:textId="77777777" w:rsidR="00EE633E" w:rsidRDefault="00EE6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37694" w14:textId="77777777" w:rsidR="004E606A" w:rsidRDefault="004E606A" w:rsidP="00EE633E">
      <w:r>
        <w:separator/>
      </w:r>
    </w:p>
  </w:footnote>
  <w:footnote w:type="continuationSeparator" w:id="0">
    <w:p w14:paraId="388C03E9" w14:textId="77777777" w:rsidR="004E606A" w:rsidRDefault="004E606A" w:rsidP="00EE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27C9"/>
    <w:multiLevelType w:val="hybridMultilevel"/>
    <w:tmpl w:val="EE4C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2257"/>
    <w:multiLevelType w:val="hybridMultilevel"/>
    <w:tmpl w:val="58BA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71C2"/>
    <w:multiLevelType w:val="hybridMultilevel"/>
    <w:tmpl w:val="F42E2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D3956"/>
    <w:multiLevelType w:val="hybridMultilevel"/>
    <w:tmpl w:val="916416D6"/>
    <w:lvl w:ilvl="0" w:tplc="639E0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EC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E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ED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63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8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0D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E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A"/>
    <w:rsid w:val="00086A53"/>
    <w:rsid w:val="001351C3"/>
    <w:rsid w:val="001529E3"/>
    <w:rsid w:val="001C32FC"/>
    <w:rsid w:val="001F23D4"/>
    <w:rsid w:val="002036B1"/>
    <w:rsid w:val="00262273"/>
    <w:rsid w:val="003017A2"/>
    <w:rsid w:val="00344633"/>
    <w:rsid w:val="00345295"/>
    <w:rsid w:val="00356F44"/>
    <w:rsid w:val="00370C7F"/>
    <w:rsid w:val="00371721"/>
    <w:rsid w:val="00373ED1"/>
    <w:rsid w:val="003802F0"/>
    <w:rsid w:val="003818D3"/>
    <w:rsid w:val="003E793A"/>
    <w:rsid w:val="003F4B79"/>
    <w:rsid w:val="00405F6B"/>
    <w:rsid w:val="004207A1"/>
    <w:rsid w:val="00456B28"/>
    <w:rsid w:val="0045715A"/>
    <w:rsid w:val="0046109F"/>
    <w:rsid w:val="004A1892"/>
    <w:rsid w:val="004A2590"/>
    <w:rsid w:val="004D2249"/>
    <w:rsid w:val="004E606A"/>
    <w:rsid w:val="00521ACB"/>
    <w:rsid w:val="00526969"/>
    <w:rsid w:val="005365DF"/>
    <w:rsid w:val="0054726E"/>
    <w:rsid w:val="005C6226"/>
    <w:rsid w:val="005F084E"/>
    <w:rsid w:val="00610FC9"/>
    <w:rsid w:val="0061274E"/>
    <w:rsid w:val="00625C6D"/>
    <w:rsid w:val="00627CAA"/>
    <w:rsid w:val="00636A57"/>
    <w:rsid w:val="00642BFE"/>
    <w:rsid w:val="00661878"/>
    <w:rsid w:val="00664085"/>
    <w:rsid w:val="0067798B"/>
    <w:rsid w:val="006D074B"/>
    <w:rsid w:val="006E345B"/>
    <w:rsid w:val="006E595A"/>
    <w:rsid w:val="007118A2"/>
    <w:rsid w:val="007B6396"/>
    <w:rsid w:val="007C3DDA"/>
    <w:rsid w:val="007D3401"/>
    <w:rsid w:val="007F7416"/>
    <w:rsid w:val="008E4B0F"/>
    <w:rsid w:val="008E540B"/>
    <w:rsid w:val="00932731"/>
    <w:rsid w:val="00941541"/>
    <w:rsid w:val="00972D44"/>
    <w:rsid w:val="009D40D0"/>
    <w:rsid w:val="009F57D9"/>
    <w:rsid w:val="00A12FF2"/>
    <w:rsid w:val="00A70729"/>
    <w:rsid w:val="00A70B66"/>
    <w:rsid w:val="00A73A3A"/>
    <w:rsid w:val="00AB788A"/>
    <w:rsid w:val="00B14A44"/>
    <w:rsid w:val="00B17B73"/>
    <w:rsid w:val="00B22A7A"/>
    <w:rsid w:val="00B65F41"/>
    <w:rsid w:val="00C16DA1"/>
    <w:rsid w:val="00C422E8"/>
    <w:rsid w:val="00C91D30"/>
    <w:rsid w:val="00C94218"/>
    <w:rsid w:val="00CB3DF3"/>
    <w:rsid w:val="00CB4C25"/>
    <w:rsid w:val="00CB7379"/>
    <w:rsid w:val="00CC6857"/>
    <w:rsid w:val="00D0282F"/>
    <w:rsid w:val="00D0564E"/>
    <w:rsid w:val="00D16B71"/>
    <w:rsid w:val="00D23684"/>
    <w:rsid w:val="00D34A81"/>
    <w:rsid w:val="00DA19A3"/>
    <w:rsid w:val="00E336C8"/>
    <w:rsid w:val="00E45861"/>
    <w:rsid w:val="00E569E1"/>
    <w:rsid w:val="00E6386D"/>
    <w:rsid w:val="00E87AC4"/>
    <w:rsid w:val="00EE633E"/>
    <w:rsid w:val="00EF2891"/>
    <w:rsid w:val="00EF2F76"/>
    <w:rsid w:val="00EF7571"/>
    <w:rsid w:val="00F169D2"/>
    <w:rsid w:val="00F26BA3"/>
    <w:rsid w:val="00F37D57"/>
    <w:rsid w:val="00F4447D"/>
    <w:rsid w:val="00F47146"/>
    <w:rsid w:val="00F720BF"/>
    <w:rsid w:val="00F932FA"/>
    <w:rsid w:val="00FA154F"/>
    <w:rsid w:val="00FC600E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E042"/>
  <w15:chartTrackingRefBased/>
  <w15:docId w15:val="{11AD5B13-F653-C74E-BF51-0E9BD711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3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2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2FA"/>
  </w:style>
  <w:style w:type="character" w:styleId="Hyperlink">
    <w:name w:val="Hyperlink"/>
    <w:basedOn w:val="DefaultParagraphFont"/>
    <w:uiPriority w:val="99"/>
    <w:unhideWhenUsed/>
    <w:rsid w:val="00FC60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3E"/>
  </w:style>
  <w:style w:type="paragraph" w:styleId="Footer">
    <w:name w:val="footer"/>
    <w:basedOn w:val="Normal"/>
    <w:link w:val="FooterChar"/>
    <w:uiPriority w:val="99"/>
    <w:unhideWhenUsed/>
    <w:rsid w:val="00EE63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ndallfox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andallfox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ritycomms.org.uk/beyond-the-organogram-how-to-build-a-stronger-audience-foc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Fox</dc:creator>
  <cp:keywords/>
  <dc:description/>
  <cp:lastModifiedBy>Christine Fleming</cp:lastModifiedBy>
  <cp:revision>2</cp:revision>
  <cp:lastPrinted>2021-02-01T09:16:00Z</cp:lastPrinted>
  <dcterms:created xsi:type="dcterms:W3CDTF">2021-02-05T11:29:00Z</dcterms:created>
  <dcterms:modified xsi:type="dcterms:W3CDTF">2021-02-05T11:29:00Z</dcterms:modified>
</cp:coreProperties>
</file>